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42" w:rsidRDefault="00E15B42" w:rsidP="00E15B42">
      <w:pPr>
        <w:ind w:left="7920"/>
        <w:jc w:val="center"/>
        <w:rPr>
          <w:b/>
        </w:rPr>
      </w:pPr>
    </w:p>
    <w:p w:rsidR="00FE25A1" w:rsidRPr="00453315" w:rsidRDefault="001231EB" w:rsidP="00722ADC">
      <w:pPr>
        <w:ind w:firstLine="0"/>
        <w:jc w:val="center"/>
        <w:rPr>
          <w:b/>
          <w:sz w:val="24"/>
          <w:szCs w:val="24"/>
        </w:rPr>
      </w:pPr>
      <w:proofErr w:type="spellStart"/>
      <w:r w:rsidRPr="00453315">
        <w:rPr>
          <w:b/>
          <w:sz w:val="24"/>
          <w:szCs w:val="24"/>
        </w:rPr>
        <w:t>Չարենցավան</w:t>
      </w:r>
      <w:proofErr w:type="spellEnd"/>
      <w:r w:rsidR="000916A8">
        <w:rPr>
          <w:b/>
          <w:sz w:val="24"/>
          <w:szCs w:val="24"/>
        </w:rPr>
        <w:t xml:space="preserve"> </w:t>
      </w:r>
      <w:proofErr w:type="spellStart"/>
      <w:r w:rsidR="00557C3D" w:rsidRPr="00453315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322A11" w:rsidRDefault="0038015C" w:rsidP="00926063">
      <w:pPr>
        <w:spacing w:line="312" w:lineRule="auto"/>
        <w:ind w:firstLine="0"/>
        <w:jc w:val="both"/>
        <w:rPr>
          <w:sz w:val="24"/>
          <w:szCs w:val="24"/>
        </w:rPr>
      </w:pPr>
      <w:r w:rsidRPr="00F830D1">
        <w:tab/>
      </w:r>
      <w:proofErr w:type="spellStart"/>
      <w:r w:rsidRPr="009F5AAB">
        <w:rPr>
          <w:sz w:val="24"/>
          <w:szCs w:val="24"/>
        </w:rPr>
        <w:t>Խոշորացման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ձևավորվել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առավել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մրցակցային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ավագանի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հաս</w:t>
      </w:r>
      <w:r w:rsidR="00A63FC4" w:rsidRPr="009F5AAB">
        <w:rPr>
          <w:sz w:val="24"/>
          <w:szCs w:val="24"/>
        </w:rPr>
        <w:t>տ</w:t>
      </w:r>
      <w:r w:rsidRPr="009F5AAB">
        <w:rPr>
          <w:sz w:val="24"/>
          <w:szCs w:val="24"/>
        </w:rPr>
        <w:t>իքների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վերաբաշխում</w:t>
      </w:r>
      <w:bookmarkStart w:id="0" w:name="_GoBack"/>
      <w:bookmarkEnd w:id="0"/>
      <w:proofErr w:type="spellEnd"/>
      <w:r w:rsidR="00322A11">
        <w:rPr>
          <w:sz w:val="24"/>
          <w:szCs w:val="24"/>
        </w:rPr>
        <w:t>:</w:t>
      </w:r>
    </w:p>
    <w:p w:rsidR="00B62455" w:rsidRPr="009F5AAB" w:rsidRDefault="00B62455" w:rsidP="00926063">
      <w:pPr>
        <w:spacing w:line="312" w:lineRule="auto"/>
        <w:ind w:firstLine="0"/>
        <w:jc w:val="both"/>
        <w:rPr>
          <w:sz w:val="24"/>
          <w:szCs w:val="24"/>
        </w:rPr>
      </w:pPr>
      <w:r w:rsidRPr="009F5AAB">
        <w:rPr>
          <w:sz w:val="24"/>
          <w:szCs w:val="24"/>
        </w:rPr>
        <w:tab/>
      </w:r>
      <w:proofErr w:type="spellStart"/>
      <w:r w:rsidRPr="009F5AAB">
        <w:rPr>
          <w:sz w:val="24"/>
          <w:szCs w:val="24"/>
        </w:rPr>
        <w:t>Համայնքապետարանում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քաղաքացիների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գրասենյակ</w:t>
      </w:r>
      <w:proofErr w:type="spellEnd"/>
      <w:r w:rsidRPr="009F5AAB">
        <w:rPr>
          <w:sz w:val="24"/>
          <w:szCs w:val="24"/>
        </w:rPr>
        <w:t xml:space="preserve"> (ՔՍԳ), </w:t>
      </w:r>
      <w:proofErr w:type="spellStart"/>
      <w:r w:rsidRPr="009F5AAB">
        <w:rPr>
          <w:sz w:val="24"/>
          <w:szCs w:val="24"/>
        </w:rPr>
        <w:t>որի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իրականացվում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բնակչությանը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մատուցվող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ծառայությունների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տրամադրումը</w:t>
      </w:r>
      <w:proofErr w:type="spellEnd"/>
      <w:r w:rsidRPr="009F5AAB">
        <w:rPr>
          <w:sz w:val="24"/>
          <w:szCs w:val="24"/>
        </w:rPr>
        <w:t xml:space="preserve">: </w:t>
      </w:r>
      <w:proofErr w:type="spellStart"/>
      <w:r w:rsidRPr="009F5AAB">
        <w:rPr>
          <w:sz w:val="24"/>
          <w:szCs w:val="24"/>
        </w:rPr>
        <w:t>Գրասենյակները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«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պատուհան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կանգառ</w:t>
      </w:r>
      <w:proofErr w:type="spellEnd"/>
      <w:r w:rsidRPr="009F5AAB">
        <w:rPr>
          <w:sz w:val="24"/>
          <w:szCs w:val="24"/>
        </w:rPr>
        <w:t xml:space="preserve">» </w:t>
      </w:r>
      <w:proofErr w:type="spellStart"/>
      <w:r w:rsidRPr="009F5AAB">
        <w:rPr>
          <w:sz w:val="24"/>
          <w:szCs w:val="24"/>
        </w:rPr>
        <w:t>սկզբունքով</w:t>
      </w:r>
      <w:proofErr w:type="spellEnd"/>
      <w:r w:rsidRPr="009F5AAB">
        <w:rPr>
          <w:sz w:val="24"/>
          <w:szCs w:val="24"/>
        </w:rPr>
        <w:t xml:space="preserve">՝ </w:t>
      </w:r>
      <w:proofErr w:type="spellStart"/>
      <w:r w:rsidRPr="009F5AAB">
        <w:rPr>
          <w:sz w:val="24"/>
          <w:szCs w:val="24"/>
        </w:rPr>
        <w:t>բնակչի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ապահովելով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հարմարավետ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որակյալ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սպասարկում</w:t>
      </w:r>
      <w:proofErr w:type="spellEnd"/>
      <w:r w:rsidRPr="009F5AAB">
        <w:rPr>
          <w:sz w:val="24"/>
          <w:szCs w:val="24"/>
        </w:rPr>
        <w:t>:</w:t>
      </w:r>
    </w:p>
    <w:p w:rsidR="00B62455" w:rsidRPr="00AB2F92" w:rsidRDefault="00E40F0E" w:rsidP="00AB2F92">
      <w:pPr>
        <w:spacing w:line="312" w:lineRule="auto"/>
        <w:jc w:val="both"/>
        <w:rPr>
          <w:sz w:val="24"/>
          <w:szCs w:val="24"/>
          <w:lang w:val="hy-AM"/>
        </w:rPr>
      </w:pPr>
      <w:proofErr w:type="spellStart"/>
      <w:r w:rsidRPr="009F5AAB">
        <w:rPr>
          <w:sz w:val="24"/>
          <w:szCs w:val="24"/>
        </w:rPr>
        <w:t>Չարենցավան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ներդրված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Համայնքային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կառավարման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տեղեկատվական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համակարգի</w:t>
      </w:r>
      <w:proofErr w:type="spellEnd"/>
      <w:r w:rsidR="00B62455" w:rsidRPr="009F5AAB">
        <w:rPr>
          <w:sz w:val="24"/>
          <w:szCs w:val="24"/>
        </w:rPr>
        <w:t xml:space="preserve">՝ (ՀԿՏՀ) </w:t>
      </w:r>
      <w:proofErr w:type="spellStart"/>
      <w:r w:rsidR="00B62455" w:rsidRPr="009F5AAB">
        <w:rPr>
          <w:sz w:val="24"/>
          <w:szCs w:val="24"/>
        </w:rPr>
        <w:t>խոշորացված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մշակված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տարբերակը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ընձեռում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բնակավայրերում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վարչական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միջոցով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էլեկտրոնային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եղանակով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մատուցել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գրեթե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բոլորայն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որոնք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տրամադրվում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քաղաքացուն</w:t>
      </w:r>
      <w:proofErr w:type="spellEnd"/>
      <w:r w:rsidR="00B62455" w:rsidRPr="009F5AAB">
        <w:rPr>
          <w:sz w:val="24"/>
          <w:szCs w:val="24"/>
        </w:rPr>
        <w:t xml:space="preserve">՝ </w:t>
      </w:r>
      <w:proofErr w:type="spellStart"/>
      <w:r w:rsidR="00B62455" w:rsidRPr="009F5AAB">
        <w:rPr>
          <w:sz w:val="24"/>
          <w:szCs w:val="24"/>
        </w:rPr>
        <w:t>համայնքապետարան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դեպքում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Նման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թվին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պատկանում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դիմումների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տարաբնույթ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ավագանումոտընդունելությանգրանցումը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գույքայինհարկերի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վարձակալական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գանձումը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դրանց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առնչվող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Եթե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մինչև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խոշորացումը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օրինակ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կազմում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ընդգրկված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բնակայրերի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բնակիչներն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գույքահարկի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հողի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ստանալու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ստիպված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ապա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այս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օր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ունեն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դա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իրականացնելու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հենց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բնակավայրում</w:t>
      </w:r>
      <w:proofErr w:type="spellEnd"/>
      <w:r w:rsidR="00B62455" w:rsidRPr="009F5AAB">
        <w:rPr>
          <w:sz w:val="24"/>
          <w:szCs w:val="24"/>
        </w:rPr>
        <w:t xml:space="preserve">: </w:t>
      </w:r>
    </w:p>
    <w:p w:rsidR="00B62455" w:rsidRPr="009F5AAB" w:rsidRDefault="00B62455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Համայքապետարանն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ունի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պաշտոնական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կայք</w:t>
      </w:r>
      <w:proofErr w:type="spellEnd"/>
      <w:r w:rsidRPr="009F5AAB">
        <w:rPr>
          <w:sz w:val="24"/>
          <w:szCs w:val="24"/>
        </w:rPr>
        <w:t xml:space="preserve"> (www.</w:t>
      </w:r>
      <w:r w:rsidR="00E436D9" w:rsidRPr="009F5AAB">
        <w:rPr>
          <w:sz w:val="24"/>
          <w:szCs w:val="24"/>
        </w:rPr>
        <w:t>charentsavan</w:t>
      </w:r>
      <w:r w:rsidRPr="009F5AAB">
        <w:rPr>
          <w:sz w:val="24"/>
          <w:szCs w:val="24"/>
        </w:rPr>
        <w:t xml:space="preserve">.am), </w:t>
      </w:r>
      <w:proofErr w:type="spellStart"/>
      <w:r w:rsidRPr="009F5AAB">
        <w:rPr>
          <w:sz w:val="24"/>
          <w:szCs w:val="24"/>
        </w:rPr>
        <w:t>ինչը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մեծապես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նպաստում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ղեկավարի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գործունեության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հրապարականության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թափանցիկության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հաշվետվողականության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ապահովմանը</w:t>
      </w:r>
      <w:proofErr w:type="spellEnd"/>
      <w:r w:rsidRPr="009F5AAB">
        <w:rPr>
          <w:sz w:val="24"/>
          <w:szCs w:val="24"/>
        </w:rPr>
        <w:t xml:space="preserve">: </w:t>
      </w:r>
    </w:p>
    <w:p w:rsidR="004F3BB1" w:rsidRPr="009F5AAB" w:rsidRDefault="00B62455" w:rsidP="0070288B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Համայնքում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ապահովված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նաև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նիստերի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նշանակության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այլ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միջոցառումների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առցանց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հեռարձակումը</w:t>
      </w:r>
      <w:proofErr w:type="spellEnd"/>
      <w:r w:rsidR="000916A8">
        <w:rPr>
          <w:sz w:val="24"/>
          <w:szCs w:val="24"/>
        </w:rPr>
        <w:t xml:space="preserve"> </w:t>
      </w:r>
      <w:r w:rsidRPr="009F5AAB">
        <w:rPr>
          <w:sz w:val="24"/>
          <w:szCs w:val="24"/>
        </w:rPr>
        <w:t>համացանցում:</w:t>
      </w: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P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692A3C" w:rsidRPr="00527730" w:rsidRDefault="00692A3C" w:rsidP="004158E0">
      <w:pPr>
        <w:spacing w:line="312" w:lineRule="auto"/>
        <w:jc w:val="both"/>
        <w:rPr>
          <w:sz w:val="21"/>
          <w:szCs w:val="21"/>
        </w:rPr>
      </w:pPr>
    </w:p>
    <w:p w:rsidR="00926063" w:rsidRDefault="00B62455" w:rsidP="00F14FA9">
      <w:pPr>
        <w:ind w:firstLine="0"/>
        <w:jc w:val="center"/>
        <w:rPr>
          <w:b/>
          <w:lang w:val="hy-AM"/>
        </w:rPr>
      </w:pPr>
      <w:proofErr w:type="spellStart"/>
      <w:r w:rsidRPr="00F830D1">
        <w:rPr>
          <w:b/>
        </w:rPr>
        <w:t>Համայնքիհաստիքներ</w:t>
      </w:r>
      <w:proofErr w:type="spellEnd"/>
    </w:p>
    <w:p w:rsidR="00AB2F92" w:rsidRPr="00AB2F92" w:rsidRDefault="00AB2F92" w:rsidP="00F14FA9">
      <w:pPr>
        <w:ind w:firstLine="0"/>
        <w:jc w:val="center"/>
        <w:rPr>
          <w:b/>
          <w:lang w:val="hy-AM"/>
        </w:rPr>
      </w:pPr>
    </w:p>
    <w:tbl>
      <w:tblPr>
        <w:tblW w:w="10330" w:type="dxa"/>
        <w:jc w:val="center"/>
        <w:tblLook w:val="04A0"/>
      </w:tblPr>
      <w:tblGrid>
        <w:gridCol w:w="1945"/>
        <w:gridCol w:w="2925"/>
        <w:gridCol w:w="2514"/>
        <w:gridCol w:w="559"/>
        <w:gridCol w:w="2387"/>
      </w:tblGrid>
      <w:tr w:rsidR="00366A6E" w:rsidRPr="00F830D1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0916A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0916A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0916A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D18F1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 w:rsidRPr="00E436D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040623" w:rsidRDefault="00024C93" w:rsidP="005E7111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040623">
              <w:rPr>
                <w:rFonts w:eastAsia="Times New Roman" w:cs="Calibri"/>
              </w:rPr>
              <w:t>6</w:t>
            </w:r>
            <w:r w:rsidR="005E7111" w:rsidRPr="00040623">
              <w:rPr>
                <w:rFonts w:eastAsia="Times New Roman" w:cs="Calibri"/>
              </w:rPr>
              <w:t>8</w:t>
            </w:r>
            <w:r w:rsidRPr="00040623">
              <w:rPr>
                <w:rFonts w:eastAsia="Times New Roman" w:cs="Calibri"/>
              </w:rPr>
              <w:t>.5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Pr="00F830D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DB0D4F" w:rsidRPr="00F830D1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DB0D4F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F830D1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024C93" w:rsidRDefault="00024C93" w:rsidP="005E7111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  <w:r w:rsidR="005E7111">
              <w:rPr>
                <w:rFonts w:eastAsia="Times New Roman" w:cs="Calibri"/>
              </w:rPr>
              <w:t>7</w:t>
            </w:r>
            <w:r>
              <w:rPr>
                <w:rFonts w:eastAsia="Times New Roman" w:cs="Calibri"/>
              </w:rPr>
              <w:t>.5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15</w:t>
            </w:r>
          </w:p>
        </w:tc>
      </w:tr>
    </w:tbl>
    <w:p w:rsidR="00D9057B" w:rsidRDefault="00D9057B" w:rsidP="00527730">
      <w:pPr>
        <w:ind w:firstLine="0"/>
        <w:jc w:val="left"/>
      </w:pPr>
    </w:p>
    <w:p w:rsidR="00527730" w:rsidRPr="001E2262" w:rsidRDefault="00A60BA5" w:rsidP="000D18F1">
      <w:pPr>
        <w:ind w:firstLine="0"/>
        <w:jc w:val="both"/>
      </w:pPr>
      <w:r w:rsidRPr="001E2262">
        <w:t>Չարենցավան</w:t>
      </w:r>
      <w:r w:rsidR="00367E2C" w:rsidRPr="001E2262">
        <w:t>համայնքումխոշորացումիցհետոկրճատվելեն</w:t>
      </w:r>
      <w:r w:rsidR="00F14FA9" w:rsidRPr="001E2262">
        <w:t>համայնքապետարան</w:t>
      </w:r>
      <w:r w:rsidR="00367E2C" w:rsidRPr="001E2262">
        <w:t>իհաստիքները</w:t>
      </w:r>
      <w:proofErr w:type="gramStart"/>
      <w:r w:rsidR="00367E2C" w:rsidRPr="001E2262">
        <w:t>,որիարդյունքումավելացելեն</w:t>
      </w:r>
      <w:proofErr w:type="gramEnd"/>
      <w:r w:rsidR="00367E2C" w:rsidRPr="001E2262">
        <w:t xml:space="preserve"> ՀՈԱԿ-</w:t>
      </w:r>
      <w:proofErr w:type="spellStart"/>
      <w:r w:rsidR="00367E2C" w:rsidRPr="001E2262">
        <w:t>ներիհաստիքները</w:t>
      </w:r>
      <w:proofErr w:type="spellEnd"/>
      <w:r w:rsidR="00367E2C" w:rsidRPr="001E2262">
        <w:t>:</w:t>
      </w:r>
    </w:p>
    <w:p w:rsidR="00FD0CD6" w:rsidRPr="00040623" w:rsidRDefault="00367E2C" w:rsidP="000D18F1">
      <w:pPr>
        <w:ind w:firstLine="0"/>
        <w:jc w:val="both"/>
      </w:pPr>
      <w:proofErr w:type="spellStart"/>
      <w:r w:rsidRPr="001E2262">
        <w:t>Մինչևխոշորացումը</w:t>
      </w:r>
      <w:r w:rsidR="00A60BA5" w:rsidRPr="001E2262">
        <w:t>Չարենցավան</w:t>
      </w:r>
      <w:r w:rsidRPr="001E2262">
        <w:t>համայնքի</w:t>
      </w:r>
      <w:r w:rsidRPr="00040623">
        <w:t>ՀՈԱԿ-ներումեղելէ</w:t>
      </w:r>
      <w:proofErr w:type="spellEnd"/>
      <w:r w:rsidR="000D18F1" w:rsidRPr="00040623">
        <w:rPr>
          <w:lang w:val="hy-AM"/>
        </w:rPr>
        <w:t>530</w:t>
      </w:r>
      <w:proofErr w:type="gramStart"/>
      <w:r w:rsidR="000D18F1" w:rsidRPr="00040623">
        <w:rPr>
          <w:lang w:val="hy-AM"/>
        </w:rPr>
        <w:t>,95</w:t>
      </w:r>
      <w:proofErr w:type="spellStart"/>
      <w:r w:rsidRPr="00040623">
        <w:t>հաստիք</w:t>
      </w:r>
      <w:proofErr w:type="spellEnd"/>
      <w:proofErr w:type="gramEnd"/>
      <w:r w:rsidRPr="00040623">
        <w:t xml:space="preserve">, </w:t>
      </w:r>
      <w:proofErr w:type="spellStart"/>
      <w:r w:rsidRPr="00040623">
        <w:t>իսկխոշորացումիցհետո</w:t>
      </w:r>
      <w:r w:rsidR="00E36C02" w:rsidRPr="00040623">
        <w:t>դրանցթիվըավելացել</w:t>
      </w:r>
      <w:proofErr w:type="spellEnd"/>
      <w:r w:rsidR="00E36C02" w:rsidRPr="00040623">
        <w:t xml:space="preserve"> է</w:t>
      </w:r>
      <w:r w:rsidR="000D18F1" w:rsidRPr="00040623">
        <w:rPr>
          <w:lang w:val="hy-AM"/>
        </w:rPr>
        <w:t>3</w:t>
      </w:r>
      <w:r w:rsidR="00B71DE6" w:rsidRPr="00040623">
        <w:t>7.55</w:t>
      </w:r>
      <w:r w:rsidR="00E36C02" w:rsidRPr="00040623">
        <w:t>-ովդառնալով</w:t>
      </w:r>
      <w:r w:rsidR="00972B6A" w:rsidRPr="00040623">
        <w:rPr>
          <w:lang w:val="hy-AM"/>
        </w:rPr>
        <w:t>56</w:t>
      </w:r>
      <w:r w:rsidR="00F55D9B" w:rsidRPr="00040623">
        <w:t>8</w:t>
      </w:r>
      <w:r w:rsidR="00972B6A" w:rsidRPr="00040623">
        <w:rPr>
          <w:lang w:val="hy-AM"/>
        </w:rPr>
        <w:t>,5</w:t>
      </w:r>
      <w:proofErr w:type="spellStart"/>
      <w:r w:rsidRPr="00040623">
        <w:t>հաստիք</w:t>
      </w:r>
      <w:proofErr w:type="spellEnd"/>
      <w:r w:rsidRPr="00040623">
        <w:t>:</w:t>
      </w:r>
    </w:p>
    <w:p w:rsidR="00FD0CD6" w:rsidRPr="00D9057B" w:rsidRDefault="00FD0CD6" w:rsidP="00841D1B">
      <w:pPr>
        <w:ind w:firstLine="0"/>
        <w:jc w:val="both"/>
        <w:rPr>
          <w:b/>
          <w:color w:val="FF0000"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651A" w:rsidRDefault="0069651A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605F2" w:rsidRDefault="001605F2" w:rsidP="004F3BB1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Կապիտալծրագրեր</w:t>
      </w:r>
      <w:proofErr w:type="spellEnd"/>
    </w:p>
    <w:p w:rsidR="00A60BA5" w:rsidRDefault="00A60BA5" w:rsidP="00A60BA5">
      <w:pPr>
        <w:tabs>
          <w:tab w:val="left" w:pos="1485"/>
        </w:tabs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5165"/>
        <w:gridCol w:w="5165"/>
      </w:tblGrid>
      <w:tr w:rsidR="00A60BA5" w:rsidTr="00A60BA5"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</w:pPr>
            <w:proofErr w:type="spellStart"/>
            <w:r w:rsidRPr="00F830D1">
              <w:t>Մինչևխոշորացումը</w:t>
            </w:r>
            <w:proofErr w:type="spellEnd"/>
          </w:p>
          <w:p w:rsidR="009F5AAB" w:rsidRDefault="009F5AAB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Խոշորացումիցհետո</w:t>
            </w:r>
            <w:proofErr w:type="spellEnd"/>
            <w:r>
              <w:rPr>
                <w:rStyle w:val="FootnoteReference"/>
              </w:rPr>
              <w:footnoteReference w:id="2"/>
            </w:r>
          </w:p>
        </w:tc>
      </w:tr>
      <w:tr w:rsidR="009F0F1F" w:rsidRPr="0042056E" w:rsidTr="00722ADC">
        <w:tc>
          <w:tcPr>
            <w:tcW w:w="5165" w:type="dxa"/>
          </w:tcPr>
          <w:p w:rsidR="009F0F1F" w:rsidRPr="0069651A" w:rsidRDefault="009F0F1F" w:rsidP="0042056E">
            <w:pPr>
              <w:ind w:firstLine="0"/>
              <w:jc w:val="both"/>
            </w:pPr>
          </w:p>
          <w:p w:rsidR="009F0F1F" w:rsidRPr="0069651A" w:rsidRDefault="009F0F1F" w:rsidP="0042056E">
            <w:pPr>
              <w:tabs>
                <w:tab w:val="left" w:pos="1485"/>
              </w:tabs>
              <w:jc w:val="left"/>
            </w:pPr>
          </w:p>
        </w:tc>
        <w:tc>
          <w:tcPr>
            <w:tcW w:w="5165" w:type="dxa"/>
          </w:tcPr>
          <w:p w:rsidR="00AF2718" w:rsidRPr="00AF2718" w:rsidRDefault="00722ADC" w:rsidP="00722ADC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722ADC">
              <w:t>Կոտայքիմարզիգ.ԱրզականիՆ.Զարյանի</w:t>
            </w:r>
            <w:proofErr w:type="spellEnd"/>
            <w:r w:rsidRPr="00722ADC">
              <w:t xml:space="preserve"> փ. </w:t>
            </w:r>
            <w:proofErr w:type="spellStart"/>
            <w:r w:rsidRPr="00722ADC">
              <w:t>լուսավորություն</w:t>
            </w:r>
            <w:proofErr w:type="spellEnd"/>
          </w:p>
        </w:tc>
      </w:tr>
    </w:tbl>
    <w:p w:rsidR="00B96D63" w:rsidRPr="0069651A" w:rsidRDefault="00B96D63" w:rsidP="00692A3C">
      <w:pPr>
        <w:tabs>
          <w:tab w:val="left" w:pos="1485"/>
        </w:tabs>
        <w:ind w:firstLine="0"/>
        <w:jc w:val="left"/>
        <w:rPr>
          <w:lang w:val="hy-AM"/>
        </w:rPr>
      </w:pPr>
    </w:p>
    <w:p w:rsidR="00FD0CD6" w:rsidRPr="0069651A" w:rsidRDefault="00FD0CD6" w:rsidP="00F34DAB">
      <w:pPr>
        <w:jc w:val="both"/>
        <w:rPr>
          <w:color w:val="FF0000"/>
          <w:lang w:val="hy-AM"/>
        </w:rPr>
      </w:pPr>
    </w:p>
    <w:sectPr w:rsidR="00FD0CD6" w:rsidRPr="0069651A" w:rsidSect="00FA124A">
      <w:pgSz w:w="12240" w:h="15840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DC" w:rsidRDefault="00722ADC" w:rsidP="00F34DAB">
      <w:pPr>
        <w:spacing w:line="240" w:lineRule="auto"/>
      </w:pPr>
      <w:r>
        <w:separator/>
      </w:r>
    </w:p>
  </w:endnote>
  <w:endnote w:type="continuationSeparator" w:id="1">
    <w:p w:rsidR="00722ADC" w:rsidRDefault="00722ADC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DC" w:rsidRDefault="00722ADC" w:rsidP="00F34DAB">
      <w:pPr>
        <w:spacing w:line="240" w:lineRule="auto"/>
      </w:pPr>
      <w:r>
        <w:separator/>
      </w:r>
    </w:p>
  </w:footnote>
  <w:footnote w:type="continuationSeparator" w:id="1">
    <w:p w:rsidR="00722ADC" w:rsidRDefault="00722ADC" w:rsidP="00F34DAB">
      <w:pPr>
        <w:spacing w:line="240" w:lineRule="auto"/>
      </w:pPr>
      <w:r>
        <w:continuationSeparator/>
      </w:r>
    </w:p>
  </w:footnote>
  <w:footnote w:id="2"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Pr="00F34DAB" w:rsidRDefault="00722ADC" w:rsidP="00A60BA5">
      <w:pPr>
        <w:pStyle w:val="FootnoteTex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FootnoteReference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3D"/>
    <w:rsid w:val="00024C93"/>
    <w:rsid w:val="00032F85"/>
    <w:rsid w:val="00040623"/>
    <w:rsid w:val="0004101C"/>
    <w:rsid w:val="0005058F"/>
    <w:rsid w:val="00057A92"/>
    <w:rsid w:val="00072C3D"/>
    <w:rsid w:val="000916A8"/>
    <w:rsid w:val="000A02EB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C4334"/>
    <w:rsid w:val="001E2262"/>
    <w:rsid w:val="001F03FB"/>
    <w:rsid w:val="002417F8"/>
    <w:rsid w:val="00290184"/>
    <w:rsid w:val="002E6303"/>
    <w:rsid w:val="00322A11"/>
    <w:rsid w:val="00324EA6"/>
    <w:rsid w:val="00361E21"/>
    <w:rsid w:val="00364395"/>
    <w:rsid w:val="00366A6E"/>
    <w:rsid w:val="00367E2C"/>
    <w:rsid w:val="00373A7A"/>
    <w:rsid w:val="0038015C"/>
    <w:rsid w:val="003A478C"/>
    <w:rsid w:val="003B1743"/>
    <w:rsid w:val="003B1DFB"/>
    <w:rsid w:val="003B36F5"/>
    <w:rsid w:val="003C28FB"/>
    <w:rsid w:val="003F762E"/>
    <w:rsid w:val="00413804"/>
    <w:rsid w:val="0041515C"/>
    <w:rsid w:val="004158E0"/>
    <w:rsid w:val="0042056E"/>
    <w:rsid w:val="00423AE9"/>
    <w:rsid w:val="00434E72"/>
    <w:rsid w:val="004458AA"/>
    <w:rsid w:val="00453315"/>
    <w:rsid w:val="004672B3"/>
    <w:rsid w:val="004751DF"/>
    <w:rsid w:val="00483799"/>
    <w:rsid w:val="004A32C4"/>
    <w:rsid w:val="004D67A2"/>
    <w:rsid w:val="004F3BB1"/>
    <w:rsid w:val="005035AC"/>
    <w:rsid w:val="0050610C"/>
    <w:rsid w:val="005146DB"/>
    <w:rsid w:val="00514721"/>
    <w:rsid w:val="00527730"/>
    <w:rsid w:val="00532EB9"/>
    <w:rsid w:val="00557C3D"/>
    <w:rsid w:val="0056149E"/>
    <w:rsid w:val="005A4F99"/>
    <w:rsid w:val="005E7111"/>
    <w:rsid w:val="00624341"/>
    <w:rsid w:val="00692772"/>
    <w:rsid w:val="00692A3C"/>
    <w:rsid w:val="0069651A"/>
    <w:rsid w:val="006C6228"/>
    <w:rsid w:val="006D6729"/>
    <w:rsid w:val="006D71A2"/>
    <w:rsid w:val="0070288B"/>
    <w:rsid w:val="00722ADC"/>
    <w:rsid w:val="00734220"/>
    <w:rsid w:val="007467A5"/>
    <w:rsid w:val="00750B36"/>
    <w:rsid w:val="007A78EA"/>
    <w:rsid w:val="007B0C32"/>
    <w:rsid w:val="007C11E9"/>
    <w:rsid w:val="007C76AF"/>
    <w:rsid w:val="007D3CAE"/>
    <w:rsid w:val="00835CD1"/>
    <w:rsid w:val="00841D1B"/>
    <w:rsid w:val="00891FEF"/>
    <w:rsid w:val="008D1294"/>
    <w:rsid w:val="008D3009"/>
    <w:rsid w:val="00926063"/>
    <w:rsid w:val="00944F93"/>
    <w:rsid w:val="00951377"/>
    <w:rsid w:val="00970603"/>
    <w:rsid w:val="00972B6A"/>
    <w:rsid w:val="009A5A75"/>
    <w:rsid w:val="009D30D8"/>
    <w:rsid w:val="009D4884"/>
    <w:rsid w:val="009F0F1F"/>
    <w:rsid w:val="009F5AAB"/>
    <w:rsid w:val="009F6D54"/>
    <w:rsid w:val="009F7DC1"/>
    <w:rsid w:val="00A00CA0"/>
    <w:rsid w:val="00A20CD4"/>
    <w:rsid w:val="00A25FEE"/>
    <w:rsid w:val="00A34059"/>
    <w:rsid w:val="00A51217"/>
    <w:rsid w:val="00A60BA5"/>
    <w:rsid w:val="00A63FC4"/>
    <w:rsid w:val="00A7014B"/>
    <w:rsid w:val="00AA031C"/>
    <w:rsid w:val="00AB2F92"/>
    <w:rsid w:val="00AD5348"/>
    <w:rsid w:val="00AF2718"/>
    <w:rsid w:val="00B01FBE"/>
    <w:rsid w:val="00B250FA"/>
    <w:rsid w:val="00B54849"/>
    <w:rsid w:val="00B62455"/>
    <w:rsid w:val="00B71DE6"/>
    <w:rsid w:val="00B84FA1"/>
    <w:rsid w:val="00B96D63"/>
    <w:rsid w:val="00BD1B5D"/>
    <w:rsid w:val="00BF7DCA"/>
    <w:rsid w:val="00C1745F"/>
    <w:rsid w:val="00C32038"/>
    <w:rsid w:val="00C53349"/>
    <w:rsid w:val="00C62916"/>
    <w:rsid w:val="00C73065"/>
    <w:rsid w:val="00C74A67"/>
    <w:rsid w:val="00CA3CF7"/>
    <w:rsid w:val="00D07CFE"/>
    <w:rsid w:val="00D225D4"/>
    <w:rsid w:val="00D3564D"/>
    <w:rsid w:val="00D87AE6"/>
    <w:rsid w:val="00D9057B"/>
    <w:rsid w:val="00DB0D4F"/>
    <w:rsid w:val="00DB5851"/>
    <w:rsid w:val="00DC0EAF"/>
    <w:rsid w:val="00E15B42"/>
    <w:rsid w:val="00E15F59"/>
    <w:rsid w:val="00E25B27"/>
    <w:rsid w:val="00E36C02"/>
    <w:rsid w:val="00E40740"/>
    <w:rsid w:val="00E40F0E"/>
    <w:rsid w:val="00E436D9"/>
    <w:rsid w:val="00E74BB4"/>
    <w:rsid w:val="00EC1818"/>
    <w:rsid w:val="00EC6D59"/>
    <w:rsid w:val="00EF00FD"/>
    <w:rsid w:val="00F13D03"/>
    <w:rsid w:val="00F14B62"/>
    <w:rsid w:val="00F14FA9"/>
    <w:rsid w:val="00F2632C"/>
    <w:rsid w:val="00F34DAB"/>
    <w:rsid w:val="00F53CEC"/>
    <w:rsid w:val="00F55D9B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3555-1698-47CE-87B6-A164DC81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Sona</cp:lastModifiedBy>
  <cp:revision>32</cp:revision>
  <cp:lastPrinted>2018-07-03T12:49:00Z</cp:lastPrinted>
  <dcterms:created xsi:type="dcterms:W3CDTF">2018-06-28T07:17:00Z</dcterms:created>
  <dcterms:modified xsi:type="dcterms:W3CDTF">2021-10-05T12:35:00Z</dcterms:modified>
</cp:coreProperties>
</file>